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27" w:rsidRPr="00183E27" w:rsidRDefault="00183E27" w:rsidP="00183E27">
      <w:pPr>
        <w:spacing w:after="0" w:line="240" w:lineRule="auto"/>
        <w:rPr>
          <w:b/>
          <w:sz w:val="40"/>
        </w:rPr>
      </w:pPr>
      <w:r w:rsidRPr="00183E27">
        <w:rPr>
          <w:b/>
          <w:sz w:val="40"/>
        </w:rPr>
        <w:t>Article clé en main</w:t>
      </w:r>
    </w:p>
    <w:p w:rsidR="00925D81" w:rsidRDefault="00183E27" w:rsidP="00183E27">
      <w:pPr>
        <w:spacing w:after="0" w:line="240" w:lineRule="auto"/>
        <w:rPr>
          <w:b/>
          <w:sz w:val="28"/>
        </w:rPr>
      </w:pPr>
      <w:r w:rsidRPr="00183E27">
        <w:rPr>
          <w:b/>
          <w:sz w:val="28"/>
        </w:rPr>
        <w:t>Projet régional de santé Nouvelle-Aquitaine 2018-2028</w:t>
      </w:r>
    </w:p>
    <w:p w:rsidR="00183E27" w:rsidRDefault="00183E27" w:rsidP="00183E27">
      <w:pPr>
        <w:spacing w:after="0" w:line="240" w:lineRule="auto"/>
        <w:rPr>
          <w:b/>
          <w:sz w:val="28"/>
        </w:rPr>
      </w:pPr>
    </w:p>
    <w:p w:rsidR="00183E27" w:rsidRDefault="00CC6481" w:rsidP="00183E27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C</w:t>
      </w:r>
      <w:r w:rsidR="00496578">
        <w:rPr>
          <w:b/>
          <w:i/>
          <w:sz w:val="24"/>
        </w:rPr>
        <w:t>ontenu rédactionnel destiné à être repris</w:t>
      </w:r>
      <w:r w:rsidR="00183E27" w:rsidRPr="00183E27">
        <w:rPr>
          <w:b/>
          <w:i/>
          <w:sz w:val="24"/>
        </w:rPr>
        <w:t xml:space="preserve"> dans les supports de communication des partenaires acteurs de santé (sites internet, lettres d’information</w:t>
      </w:r>
      <w:r w:rsidR="00183E27">
        <w:rPr>
          <w:b/>
          <w:i/>
          <w:sz w:val="24"/>
        </w:rPr>
        <w:t xml:space="preserve">, </w:t>
      </w:r>
      <w:proofErr w:type="spellStart"/>
      <w:r w:rsidR="00183E27">
        <w:rPr>
          <w:b/>
          <w:i/>
          <w:sz w:val="24"/>
        </w:rPr>
        <w:t>etc</w:t>
      </w:r>
      <w:proofErr w:type="spellEnd"/>
      <w:r w:rsidR="00183E27">
        <w:rPr>
          <w:b/>
          <w:i/>
          <w:sz w:val="24"/>
        </w:rPr>
        <w:t>).</w:t>
      </w:r>
    </w:p>
    <w:p w:rsidR="00183E27" w:rsidRDefault="00183E27" w:rsidP="00183E27">
      <w:pPr>
        <w:pBdr>
          <w:bottom w:val="single" w:sz="4" w:space="1" w:color="auto"/>
        </w:pBdr>
        <w:jc w:val="both"/>
        <w:outlineLvl w:val="0"/>
        <w:rPr>
          <w:b/>
          <w:color w:val="002060"/>
          <w:szCs w:val="20"/>
        </w:rPr>
      </w:pPr>
    </w:p>
    <w:p w:rsidR="00A020FB" w:rsidRDefault="00A020FB" w:rsidP="00183E27">
      <w:pPr>
        <w:spacing w:after="0" w:line="240" w:lineRule="auto"/>
        <w:jc w:val="both"/>
        <w:outlineLvl w:val="0"/>
        <w:rPr>
          <w:b/>
          <w:color w:val="002060"/>
          <w:szCs w:val="20"/>
        </w:rPr>
      </w:pPr>
    </w:p>
    <w:p w:rsidR="00A020FB" w:rsidRDefault="00A020FB" w:rsidP="00A020FB">
      <w:pPr>
        <w:spacing w:after="0" w:line="240" w:lineRule="auto"/>
        <w:jc w:val="center"/>
        <w:outlineLvl w:val="0"/>
        <w:rPr>
          <w:b/>
          <w:color w:val="002060"/>
          <w:szCs w:val="20"/>
        </w:rPr>
      </w:pPr>
      <w:r>
        <w:rPr>
          <w:b/>
          <w:noProof/>
          <w:color w:val="002060"/>
          <w:szCs w:val="20"/>
          <w:lang w:eastAsia="fr-FR"/>
        </w:rPr>
        <w:drawing>
          <wp:inline distT="0" distB="0" distL="0" distR="0">
            <wp:extent cx="3876675" cy="1211060"/>
            <wp:effectExtent l="0" t="0" r="0" b="8255"/>
            <wp:docPr id="1" name="Image 1" descr="N:\DIRECTION GENERALE\COMMUNICATION\COM_EXTERNE\PRS\1_PUBLICATION\KIT_COM_PRS\Logos\prs2018-2028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IRECTION GENERALE\COMMUNICATION\COM_EXTERNE\PRS\1_PUBLICATION\KIT_COM_PRS\Logos\prs2018-2028-rv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FB" w:rsidRDefault="00A020FB" w:rsidP="00183E27">
      <w:pPr>
        <w:spacing w:after="0" w:line="240" w:lineRule="auto"/>
        <w:jc w:val="both"/>
        <w:outlineLvl w:val="0"/>
        <w:rPr>
          <w:b/>
          <w:color w:val="002060"/>
          <w:szCs w:val="20"/>
        </w:rPr>
      </w:pPr>
    </w:p>
    <w:p w:rsidR="00183E27" w:rsidRDefault="00183E27" w:rsidP="00183E27">
      <w:pPr>
        <w:spacing w:after="0" w:line="240" w:lineRule="auto"/>
        <w:jc w:val="both"/>
        <w:outlineLvl w:val="0"/>
        <w:rPr>
          <w:b/>
          <w:color w:val="002060"/>
          <w:szCs w:val="20"/>
        </w:rPr>
      </w:pPr>
      <w:bookmarkStart w:id="0" w:name="_GoBack"/>
      <w:bookmarkEnd w:id="0"/>
      <w:r w:rsidRPr="001E0E99">
        <w:rPr>
          <w:b/>
          <w:color w:val="002060"/>
          <w:szCs w:val="20"/>
        </w:rPr>
        <w:t xml:space="preserve">Le Projet régional de santé Nouvelle-Aquitaine (PRS) 2018-2028 a été adopté par </w:t>
      </w:r>
      <w:r>
        <w:rPr>
          <w:b/>
          <w:color w:val="002060"/>
          <w:szCs w:val="20"/>
        </w:rPr>
        <w:t>le directeur général de l’Agence régionale de santé Nouvelle-Aquitaine</w:t>
      </w:r>
      <w:r w:rsidRPr="001E0E99">
        <w:rPr>
          <w:b/>
          <w:color w:val="002060"/>
          <w:szCs w:val="20"/>
        </w:rPr>
        <w:t xml:space="preserve"> le 17 juillet </w:t>
      </w:r>
      <w:r>
        <w:rPr>
          <w:b/>
          <w:color w:val="002060"/>
          <w:szCs w:val="20"/>
        </w:rPr>
        <w:t>dernier. Elaborée en concertation</w:t>
      </w:r>
      <w:r w:rsidRPr="001E0E99">
        <w:rPr>
          <w:b/>
          <w:color w:val="002060"/>
          <w:szCs w:val="20"/>
        </w:rPr>
        <w:t xml:space="preserve"> avec l</w:t>
      </w:r>
      <w:r>
        <w:rPr>
          <w:b/>
          <w:color w:val="002060"/>
          <w:szCs w:val="20"/>
        </w:rPr>
        <w:t xml:space="preserve">es </w:t>
      </w:r>
      <w:r w:rsidRPr="001E0E99">
        <w:rPr>
          <w:b/>
          <w:color w:val="002060"/>
          <w:szCs w:val="20"/>
        </w:rPr>
        <w:t>acteurs de santé de la région</w:t>
      </w:r>
      <w:r>
        <w:rPr>
          <w:b/>
          <w:color w:val="002060"/>
          <w:szCs w:val="20"/>
        </w:rPr>
        <w:t>, c</w:t>
      </w:r>
      <w:r w:rsidRPr="001E0E99">
        <w:rPr>
          <w:b/>
          <w:color w:val="002060"/>
          <w:szCs w:val="20"/>
        </w:rPr>
        <w:t xml:space="preserve">ette nouvelle </w:t>
      </w:r>
      <w:r>
        <w:rPr>
          <w:b/>
          <w:color w:val="002060"/>
          <w:szCs w:val="20"/>
        </w:rPr>
        <w:t>« </w:t>
      </w:r>
      <w:r w:rsidRPr="001E0E99">
        <w:rPr>
          <w:b/>
          <w:color w:val="002060"/>
          <w:szCs w:val="20"/>
        </w:rPr>
        <w:t>feuille de route</w:t>
      </w:r>
      <w:r>
        <w:rPr>
          <w:b/>
          <w:color w:val="002060"/>
          <w:szCs w:val="20"/>
        </w:rPr>
        <w:t> »</w:t>
      </w:r>
      <w:r w:rsidRPr="001E0E99">
        <w:rPr>
          <w:b/>
          <w:color w:val="002060"/>
          <w:szCs w:val="20"/>
        </w:rPr>
        <w:t xml:space="preserve"> a pour vocation de coordonner l'ensemble des politiques publiques de santé au bénéfice d'une ambition collective : améliorer la santé de toutes et tous en Nouvelle-Aquitaine.</w:t>
      </w:r>
    </w:p>
    <w:p w:rsidR="00183E27" w:rsidRDefault="00183E27" w:rsidP="00183E27">
      <w:pPr>
        <w:spacing w:after="0" w:line="240" w:lineRule="auto"/>
        <w:jc w:val="both"/>
        <w:outlineLvl w:val="0"/>
        <w:rPr>
          <w:b/>
          <w:color w:val="002060"/>
          <w:szCs w:val="20"/>
        </w:rPr>
      </w:pPr>
    </w:p>
    <w:p w:rsidR="00183E27" w:rsidRDefault="00183E27" w:rsidP="00183E27">
      <w:pPr>
        <w:spacing w:after="0" w:line="240" w:lineRule="auto"/>
        <w:jc w:val="both"/>
        <w:outlineLvl w:val="0"/>
        <w:rPr>
          <w:b/>
          <w:color w:val="002060"/>
          <w:szCs w:val="20"/>
        </w:rPr>
      </w:pPr>
    </w:p>
    <w:p w:rsidR="00183E27" w:rsidRPr="00183E27" w:rsidRDefault="00183E27" w:rsidP="00183E27">
      <w:pPr>
        <w:shd w:val="clear" w:color="auto" w:fill="339966"/>
        <w:spacing w:after="0" w:line="240" w:lineRule="auto"/>
        <w:jc w:val="both"/>
        <w:outlineLvl w:val="0"/>
        <w:rPr>
          <w:b/>
          <w:color w:val="FFFFFF" w:themeColor="background1"/>
          <w:sz w:val="28"/>
          <w:szCs w:val="20"/>
        </w:rPr>
      </w:pPr>
      <w:r w:rsidRPr="00183E27">
        <w:rPr>
          <w:b/>
          <w:color w:val="FFFFFF" w:themeColor="background1"/>
          <w:sz w:val="28"/>
          <w:szCs w:val="20"/>
        </w:rPr>
        <w:t>5 défis à relever ensemble d’ici 10 ans</w:t>
      </w:r>
    </w:p>
    <w:p w:rsidR="00183E27" w:rsidRDefault="00183E27" w:rsidP="00183E27">
      <w:pPr>
        <w:spacing w:after="0" w:line="240" w:lineRule="auto"/>
        <w:rPr>
          <w:b/>
          <w:color w:val="299A73"/>
          <w:sz w:val="24"/>
        </w:rPr>
      </w:pPr>
    </w:p>
    <w:p w:rsidR="00183E27" w:rsidRPr="00915BEE" w:rsidRDefault="00183E27" w:rsidP="00183E27">
      <w:pPr>
        <w:spacing w:after="0" w:line="240" w:lineRule="auto"/>
        <w:rPr>
          <w:b/>
          <w:color w:val="299A73"/>
          <w:sz w:val="24"/>
        </w:rPr>
      </w:pPr>
      <w:r w:rsidRPr="00915BEE">
        <w:rPr>
          <w:b/>
          <w:color w:val="299A73"/>
          <w:sz w:val="24"/>
        </w:rPr>
        <w:t>DÉFI N°1</w:t>
      </w:r>
    </w:p>
    <w:p w:rsidR="00183E27" w:rsidRPr="00183E27" w:rsidRDefault="00183E27" w:rsidP="00183E27">
      <w:pPr>
        <w:spacing w:after="0" w:line="240" w:lineRule="auto"/>
        <w:rPr>
          <w:b/>
          <w:color w:val="002060"/>
          <w:sz w:val="24"/>
          <w:szCs w:val="20"/>
        </w:rPr>
      </w:pPr>
      <w:r w:rsidRPr="00915BEE">
        <w:rPr>
          <w:b/>
          <w:color w:val="002060"/>
          <w:szCs w:val="20"/>
        </w:rPr>
        <w:t>+ 320 000 habitants</w:t>
      </w:r>
      <w:r>
        <w:rPr>
          <w:b/>
          <w:color w:val="002060"/>
          <w:szCs w:val="20"/>
        </w:rPr>
        <w:t xml:space="preserve"> </w:t>
      </w:r>
      <w:r w:rsidRPr="00183E27">
        <w:rPr>
          <w:color w:val="002060"/>
          <w:szCs w:val="20"/>
        </w:rPr>
        <w:t>soit la population</w:t>
      </w:r>
      <w:r w:rsidRPr="00183E27">
        <w:rPr>
          <w:b/>
          <w:color w:val="002060"/>
          <w:sz w:val="24"/>
          <w:szCs w:val="20"/>
        </w:rPr>
        <w:t xml:space="preserve"> </w:t>
      </w:r>
      <w:r w:rsidRPr="00183E27">
        <w:rPr>
          <w:color w:val="002060"/>
          <w:szCs w:val="20"/>
        </w:rPr>
        <w:t>du Lot-et-Garonne</w:t>
      </w:r>
    </w:p>
    <w:p w:rsidR="00183E27" w:rsidRDefault="00183E27" w:rsidP="00183E27">
      <w:pPr>
        <w:spacing w:after="0" w:line="240" w:lineRule="auto"/>
        <w:rPr>
          <w:sz w:val="24"/>
        </w:rPr>
      </w:pPr>
    </w:p>
    <w:p w:rsidR="00183E27" w:rsidRPr="00915BEE" w:rsidRDefault="00183E27" w:rsidP="00183E27">
      <w:pPr>
        <w:spacing w:after="0" w:line="240" w:lineRule="auto"/>
        <w:rPr>
          <w:b/>
          <w:color w:val="299A73"/>
          <w:sz w:val="24"/>
        </w:rPr>
      </w:pPr>
      <w:r w:rsidRPr="00915BEE">
        <w:rPr>
          <w:b/>
          <w:color w:val="299A73"/>
          <w:sz w:val="24"/>
        </w:rPr>
        <w:t>DÉFI N°</w:t>
      </w:r>
      <w:r>
        <w:rPr>
          <w:b/>
          <w:color w:val="299A73"/>
          <w:sz w:val="24"/>
        </w:rPr>
        <w:t>2</w:t>
      </w:r>
    </w:p>
    <w:p w:rsidR="00183E27" w:rsidRPr="00915BEE" w:rsidRDefault="00183E27" w:rsidP="00183E27">
      <w:pPr>
        <w:spacing w:after="0" w:line="240" w:lineRule="auto"/>
        <w:rPr>
          <w:b/>
          <w:color w:val="002060"/>
          <w:szCs w:val="20"/>
        </w:rPr>
      </w:pPr>
      <w:r w:rsidRPr="00915BEE">
        <w:rPr>
          <w:b/>
          <w:color w:val="002060"/>
          <w:szCs w:val="20"/>
        </w:rPr>
        <w:t>Vieillissement de la population</w:t>
      </w:r>
    </w:p>
    <w:p w:rsidR="00183E27" w:rsidRPr="00183E27" w:rsidRDefault="00183E27" w:rsidP="00183E27">
      <w:pPr>
        <w:spacing w:after="0" w:line="240" w:lineRule="auto"/>
        <w:rPr>
          <w:color w:val="002060"/>
          <w:sz w:val="24"/>
          <w:szCs w:val="20"/>
        </w:rPr>
      </w:pPr>
      <w:r w:rsidRPr="00183E27">
        <w:rPr>
          <w:color w:val="002060"/>
          <w:szCs w:val="20"/>
        </w:rPr>
        <w:t>14% des Néo-Aquitains auront 75 ans et + (contre 11% en 2018)</w:t>
      </w:r>
    </w:p>
    <w:p w:rsidR="00183E27" w:rsidRPr="00915BEE" w:rsidRDefault="00183E27" w:rsidP="00183E27">
      <w:pPr>
        <w:spacing w:after="0" w:line="240" w:lineRule="auto"/>
        <w:rPr>
          <w:b/>
          <w:color w:val="002060"/>
          <w:szCs w:val="20"/>
        </w:rPr>
      </w:pPr>
      <w:r w:rsidRPr="00915BEE">
        <w:rPr>
          <w:b/>
          <w:color w:val="002060"/>
          <w:szCs w:val="20"/>
        </w:rPr>
        <w:t>Des médecins mal répartis et âgés</w:t>
      </w:r>
    </w:p>
    <w:p w:rsidR="00183E27" w:rsidRPr="00183E27" w:rsidRDefault="00183E27" w:rsidP="00183E27">
      <w:pPr>
        <w:spacing w:after="0" w:line="240" w:lineRule="auto"/>
        <w:rPr>
          <w:color w:val="002060"/>
          <w:szCs w:val="20"/>
        </w:rPr>
      </w:pPr>
      <w:r w:rsidRPr="00183E27">
        <w:rPr>
          <w:color w:val="002060"/>
          <w:szCs w:val="20"/>
        </w:rPr>
        <w:t>1/3 ont plus de 60 ans et trop peu en milieu rural</w:t>
      </w:r>
    </w:p>
    <w:p w:rsidR="00183E27" w:rsidRDefault="00183E27" w:rsidP="00183E27">
      <w:pPr>
        <w:spacing w:after="0" w:line="240" w:lineRule="auto"/>
        <w:rPr>
          <w:color w:val="002060"/>
          <w:sz w:val="20"/>
          <w:szCs w:val="20"/>
        </w:rPr>
      </w:pPr>
    </w:p>
    <w:p w:rsidR="00183E27" w:rsidRPr="00915BEE" w:rsidRDefault="00183E27" w:rsidP="00183E27">
      <w:pPr>
        <w:spacing w:after="0" w:line="240" w:lineRule="auto"/>
        <w:rPr>
          <w:b/>
          <w:color w:val="299A73"/>
          <w:sz w:val="24"/>
        </w:rPr>
      </w:pPr>
      <w:r w:rsidRPr="00915BEE">
        <w:rPr>
          <w:b/>
          <w:color w:val="299A73"/>
          <w:sz w:val="24"/>
        </w:rPr>
        <w:t>DÉFI N°</w:t>
      </w:r>
      <w:r>
        <w:rPr>
          <w:b/>
          <w:color w:val="299A73"/>
          <w:sz w:val="24"/>
        </w:rPr>
        <w:t>3</w:t>
      </w:r>
    </w:p>
    <w:p w:rsidR="00183E27" w:rsidRDefault="00183E27" w:rsidP="00183E27">
      <w:pPr>
        <w:spacing w:after="0" w:line="240" w:lineRule="auto"/>
        <w:rPr>
          <w:color w:val="002060"/>
          <w:sz w:val="20"/>
          <w:szCs w:val="20"/>
        </w:rPr>
      </w:pPr>
      <w:r w:rsidRPr="00915BEE">
        <w:rPr>
          <w:b/>
          <w:color w:val="002060"/>
          <w:szCs w:val="20"/>
        </w:rPr>
        <w:t>Développement des maladies chroniques</w:t>
      </w:r>
      <w:r>
        <w:t xml:space="preserve"> </w:t>
      </w:r>
      <w:r w:rsidRPr="00183E27">
        <w:rPr>
          <w:color w:val="002060"/>
          <w:szCs w:val="20"/>
        </w:rPr>
        <w:t>(cardio-vasculaires, diabètes, troubles psychique)</w:t>
      </w:r>
    </w:p>
    <w:p w:rsidR="00183E27" w:rsidRDefault="00183E27" w:rsidP="00183E27">
      <w:pPr>
        <w:spacing w:after="0" w:line="240" w:lineRule="auto"/>
        <w:rPr>
          <w:color w:val="002060"/>
          <w:sz w:val="20"/>
          <w:szCs w:val="20"/>
        </w:rPr>
      </w:pPr>
    </w:p>
    <w:p w:rsidR="00183E27" w:rsidRPr="00915BEE" w:rsidRDefault="00183E27" w:rsidP="00183E27">
      <w:pPr>
        <w:spacing w:after="0" w:line="240" w:lineRule="auto"/>
        <w:rPr>
          <w:b/>
          <w:color w:val="299A73"/>
          <w:sz w:val="24"/>
        </w:rPr>
      </w:pPr>
      <w:r w:rsidRPr="00915BEE">
        <w:rPr>
          <w:b/>
          <w:color w:val="299A73"/>
          <w:sz w:val="24"/>
        </w:rPr>
        <w:t>DÉFI N°</w:t>
      </w:r>
      <w:r>
        <w:rPr>
          <w:b/>
          <w:color w:val="299A73"/>
          <w:sz w:val="24"/>
        </w:rPr>
        <w:t>4</w:t>
      </w:r>
    </w:p>
    <w:p w:rsidR="00183E27" w:rsidRDefault="00183E27" w:rsidP="00183E27">
      <w:pPr>
        <w:spacing w:after="0" w:line="240" w:lineRule="auto"/>
        <w:rPr>
          <w:b/>
          <w:color w:val="002060"/>
          <w:szCs w:val="20"/>
        </w:rPr>
      </w:pPr>
      <w:r>
        <w:rPr>
          <w:b/>
          <w:color w:val="002060"/>
          <w:szCs w:val="20"/>
        </w:rPr>
        <w:t>Offre de santé trop orientée vers le soin au détriment de la prévention</w:t>
      </w:r>
    </w:p>
    <w:p w:rsidR="00183E27" w:rsidRDefault="00183E27" w:rsidP="00183E27">
      <w:pPr>
        <w:spacing w:after="0" w:line="240" w:lineRule="auto"/>
        <w:rPr>
          <w:b/>
          <w:color w:val="002060"/>
          <w:szCs w:val="20"/>
        </w:rPr>
      </w:pPr>
    </w:p>
    <w:p w:rsidR="00183E27" w:rsidRPr="00915BEE" w:rsidRDefault="00183E27" w:rsidP="00183E27">
      <w:pPr>
        <w:spacing w:after="0" w:line="240" w:lineRule="auto"/>
        <w:rPr>
          <w:b/>
          <w:color w:val="299A73"/>
          <w:sz w:val="24"/>
        </w:rPr>
      </w:pPr>
      <w:r w:rsidRPr="00915BEE">
        <w:rPr>
          <w:b/>
          <w:color w:val="299A73"/>
          <w:sz w:val="24"/>
        </w:rPr>
        <w:t>DÉFI N°</w:t>
      </w:r>
      <w:r>
        <w:rPr>
          <w:b/>
          <w:color w:val="299A73"/>
          <w:sz w:val="24"/>
        </w:rPr>
        <w:t>5</w:t>
      </w:r>
    </w:p>
    <w:p w:rsidR="00183E27" w:rsidRDefault="00183E27" w:rsidP="00183E27">
      <w:pPr>
        <w:spacing w:after="0" w:line="240" w:lineRule="auto"/>
        <w:rPr>
          <w:color w:val="002060"/>
          <w:szCs w:val="20"/>
        </w:rPr>
      </w:pPr>
      <w:r>
        <w:rPr>
          <w:b/>
          <w:color w:val="002060"/>
          <w:szCs w:val="20"/>
        </w:rPr>
        <w:t xml:space="preserve">Renforcer la coordination des acteurs et améliorer le parcours de santé </w:t>
      </w:r>
      <w:r w:rsidRPr="00183E27">
        <w:rPr>
          <w:color w:val="002060"/>
          <w:szCs w:val="20"/>
        </w:rPr>
        <w:t>avec une participation active des patients</w:t>
      </w:r>
    </w:p>
    <w:p w:rsidR="00183E27" w:rsidRDefault="00183E27" w:rsidP="00183E27">
      <w:pPr>
        <w:spacing w:after="0" w:line="240" w:lineRule="auto"/>
        <w:rPr>
          <w:color w:val="002060"/>
          <w:szCs w:val="20"/>
        </w:rPr>
      </w:pPr>
    </w:p>
    <w:p w:rsidR="00183E27" w:rsidRDefault="00183E27" w:rsidP="00183E27">
      <w:pPr>
        <w:spacing w:after="0" w:line="240" w:lineRule="auto"/>
        <w:rPr>
          <w:color w:val="002060"/>
          <w:szCs w:val="20"/>
        </w:rPr>
      </w:pPr>
    </w:p>
    <w:p w:rsidR="00183E27" w:rsidRPr="00183E27" w:rsidRDefault="00183E27" w:rsidP="00183E27">
      <w:pPr>
        <w:shd w:val="clear" w:color="auto" w:fill="339966"/>
        <w:spacing w:after="0" w:line="240" w:lineRule="auto"/>
        <w:jc w:val="both"/>
        <w:outlineLvl w:val="0"/>
        <w:rPr>
          <w:b/>
          <w:color w:val="FFFFFF" w:themeColor="background1"/>
          <w:sz w:val="28"/>
          <w:szCs w:val="20"/>
        </w:rPr>
      </w:pPr>
      <w:r>
        <w:rPr>
          <w:b/>
          <w:color w:val="FFFFFF" w:themeColor="background1"/>
          <w:sz w:val="28"/>
          <w:szCs w:val="20"/>
        </w:rPr>
        <w:t>3</w:t>
      </w:r>
      <w:r w:rsidRPr="00183E27">
        <w:rPr>
          <w:b/>
          <w:color w:val="FFFFFF" w:themeColor="background1"/>
          <w:sz w:val="28"/>
          <w:szCs w:val="20"/>
        </w:rPr>
        <w:t xml:space="preserve"> </w:t>
      </w:r>
      <w:r>
        <w:rPr>
          <w:b/>
          <w:color w:val="FFFFFF" w:themeColor="background1"/>
          <w:sz w:val="28"/>
          <w:szCs w:val="20"/>
        </w:rPr>
        <w:t>évolutions majeures du système de santé régional</w:t>
      </w:r>
    </w:p>
    <w:p w:rsidR="00183E27" w:rsidRDefault="00183E27" w:rsidP="00183E27">
      <w:pPr>
        <w:spacing w:after="0" w:line="240" w:lineRule="auto"/>
        <w:rPr>
          <w:b/>
          <w:color w:val="002060"/>
          <w:szCs w:val="20"/>
        </w:rPr>
      </w:pPr>
    </w:p>
    <w:p w:rsidR="00183E27" w:rsidRPr="00183E27" w:rsidRDefault="00183E27" w:rsidP="00183E27">
      <w:pPr>
        <w:spacing w:after="0" w:line="240" w:lineRule="auto"/>
        <w:jc w:val="both"/>
        <w:rPr>
          <w:color w:val="002060"/>
        </w:rPr>
      </w:pPr>
      <w:r w:rsidRPr="00183E27">
        <w:rPr>
          <w:color w:val="002060"/>
        </w:rPr>
        <w:t xml:space="preserve">Pour relever ces défis, </w:t>
      </w:r>
      <w:r w:rsidRPr="00183E27">
        <w:rPr>
          <w:b/>
          <w:color w:val="002060"/>
        </w:rPr>
        <w:t xml:space="preserve">3 évolutions majeures du système de santé régional </w:t>
      </w:r>
      <w:r w:rsidRPr="00183E27">
        <w:rPr>
          <w:color w:val="002060"/>
        </w:rPr>
        <w:t xml:space="preserve">sont nécessaires : </w:t>
      </w:r>
    </w:p>
    <w:p w:rsidR="00183E27" w:rsidRPr="00183E27" w:rsidRDefault="00183E27" w:rsidP="00183E27">
      <w:pPr>
        <w:spacing w:after="0" w:line="240" w:lineRule="auto"/>
        <w:jc w:val="both"/>
        <w:rPr>
          <w:color w:val="002060"/>
        </w:rPr>
      </w:pPr>
    </w:p>
    <w:p w:rsidR="00183E27" w:rsidRPr="00183E27" w:rsidRDefault="00183E27" w:rsidP="00183E2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2060"/>
        </w:rPr>
      </w:pPr>
      <w:r w:rsidRPr="00183E27">
        <w:rPr>
          <w:b/>
          <w:color w:val="299A73"/>
        </w:rPr>
        <w:t>Plus de prévention et de promotion de la santé</w:t>
      </w:r>
      <w:r w:rsidRPr="00183E27">
        <w:rPr>
          <w:color w:val="002060"/>
        </w:rPr>
        <w:t>,</w:t>
      </w:r>
    </w:p>
    <w:p w:rsidR="00183E27" w:rsidRPr="00183E27" w:rsidRDefault="00183E27" w:rsidP="00183E27">
      <w:pPr>
        <w:numPr>
          <w:ilvl w:val="0"/>
          <w:numId w:val="1"/>
        </w:numPr>
        <w:spacing w:after="0" w:line="240" w:lineRule="auto"/>
        <w:jc w:val="both"/>
        <w:rPr>
          <w:color w:val="002060"/>
        </w:rPr>
      </w:pPr>
      <w:r w:rsidRPr="00183E27">
        <w:rPr>
          <w:b/>
          <w:color w:val="299A73"/>
        </w:rPr>
        <w:t>Plus de prises en charge à domicile et d’inclusion</w:t>
      </w:r>
      <w:r w:rsidRPr="00183E27">
        <w:rPr>
          <w:color w:val="299A73"/>
        </w:rPr>
        <w:t xml:space="preserve"> </w:t>
      </w:r>
      <w:r w:rsidRPr="00183E27">
        <w:rPr>
          <w:color w:val="002060"/>
        </w:rPr>
        <w:t>au plus près des milieux de vie (personnes âgées,  en situation de handicap et publics vulnérables),</w:t>
      </w:r>
    </w:p>
    <w:p w:rsidR="00183E27" w:rsidRPr="00183E27" w:rsidRDefault="00183E27" w:rsidP="00183E27">
      <w:pPr>
        <w:numPr>
          <w:ilvl w:val="0"/>
          <w:numId w:val="1"/>
        </w:numPr>
        <w:spacing w:after="0" w:line="240" w:lineRule="auto"/>
        <w:jc w:val="both"/>
        <w:rPr>
          <w:color w:val="002060"/>
        </w:rPr>
      </w:pPr>
      <w:r w:rsidRPr="00183E27">
        <w:rPr>
          <w:b/>
          <w:color w:val="299A73"/>
        </w:rPr>
        <w:t>Plus de prises en charge personnalisées et coordonnées</w:t>
      </w:r>
      <w:r w:rsidRPr="00183E27">
        <w:rPr>
          <w:color w:val="299A73"/>
        </w:rPr>
        <w:t xml:space="preserve"> </w:t>
      </w:r>
      <w:r w:rsidRPr="00183E27">
        <w:rPr>
          <w:color w:val="002060"/>
        </w:rPr>
        <w:t>avec une participation active des patients.</w:t>
      </w:r>
    </w:p>
    <w:p w:rsidR="00183E27" w:rsidRDefault="00183E27" w:rsidP="00183E27">
      <w:pPr>
        <w:spacing w:after="0" w:line="240" w:lineRule="auto"/>
        <w:rPr>
          <w:b/>
          <w:color w:val="002060"/>
          <w:szCs w:val="20"/>
        </w:rPr>
      </w:pPr>
    </w:p>
    <w:p w:rsidR="00183E27" w:rsidRDefault="00183E27" w:rsidP="00183E27">
      <w:pPr>
        <w:shd w:val="clear" w:color="auto" w:fill="339966"/>
        <w:spacing w:after="0" w:line="240" w:lineRule="auto"/>
        <w:jc w:val="both"/>
        <w:outlineLvl w:val="0"/>
        <w:rPr>
          <w:b/>
          <w:color w:val="FFFFFF" w:themeColor="background1"/>
          <w:sz w:val="28"/>
          <w:szCs w:val="20"/>
        </w:rPr>
      </w:pPr>
      <w:r w:rsidRPr="00183E27">
        <w:rPr>
          <w:b/>
          <w:color w:val="FFFFFF" w:themeColor="background1"/>
          <w:sz w:val="28"/>
          <w:szCs w:val="20"/>
        </w:rPr>
        <w:t>Des enjeux et des priorités partagés</w:t>
      </w:r>
    </w:p>
    <w:p w:rsidR="00183E27" w:rsidRDefault="00183E27" w:rsidP="00183E27">
      <w:pPr>
        <w:spacing w:after="0" w:line="240" w:lineRule="auto"/>
        <w:rPr>
          <w:sz w:val="28"/>
          <w:szCs w:val="20"/>
        </w:rPr>
      </w:pPr>
    </w:p>
    <w:p w:rsidR="00183E27" w:rsidRPr="00183E27" w:rsidRDefault="00183E27" w:rsidP="00183E27">
      <w:pPr>
        <w:spacing w:after="0" w:line="240" w:lineRule="auto"/>
        <w:jc w:val="both"/>
        <w:rPr>
          <w:color w:val="002060"/>
          <w:szCs w:val="21"/>
        </w:rPr>
      </w:pPr>
      <w:r w:rsidRPr="00183E27">
        <w:rPr>
          <w:color w:val="002060"/>
          <w:szCs w:val="21"/>
        </w:rPr>
        <w:t xml:space="preserve">Le PRS constitue </w:t>
      </w:r>
      <w:r w:rsidRPr="00183E27">
        <w:rPr>
          <w:b/>
          <w:color w:val="002060"/>
          <w:szCs w:val="21"/>
        </w:rPr>
        <w:t>le cadre d’action pour tous les acteurs de santé de la région</w:t>
      </w:r>
      <w:r w:rsidRPr="00183E27">
        <w:rPr>
          <w:color w:val="002060"/>
          <w:szCs w:val="21"/>
        </w:rPr>
        <w:t xml:space="preserve"> (professionnels, établissements et services de santé et médico-sociaux, porteurs de politiques publiques, collectivités territoriales, organismes de sécurité sociale) et a vocation </w:t>
      </w:r>
      <w:r w:rsidRPr="00183E27">
        <w:rPr>
          <w:b/>
          <w:color w:val="002060"/>
          <w:szCs w:val="21"/>
        </w:rPr>
        <w:t>à coordonner l’ensemble des politiques publiques de santé</w:t>
      </w:r>
      <w:r w:rsidRPr="00183E27">
        <w:rPr>
          <w:color w:val="002060"/>
          <w:szCs w:val="21"/>
        </w:rPr>
        <w:t xml:space="preserve"> (dans les domaines de l’environnement, l’alimentation, l’éducation, la culture, l’aménagement du territoire, le travail, le logement, etc.). </w:t>
      </w:r>
    </w:p>
    <w:p w:rsidR="00183E27" w:rsidRPr="00183E27" w:rsidRDefault="00183E27" w:rsidP="00183E27">
      <w:pPr>
        <w:spacing w:after="0" w:line="240" w:lineRule="auto"/>
        <w:jc w:val="both"/>
        <w:rPr>
          <w:color w:val="002060"/>
          <w:szCs w:val="21"/>
        </w:rPr>
      </w:pPr>
    </w:p>
    <w:p w:rsidR="00183E27" w:rsidRDefault="00183E27" w:rsidP="00BC58F9">
      <w:pPr>
        <w:spacing w:after="0" w:line="240" w:lineRule="auto"/>
        <w:jc w:val="both"/>
        <w:rPr>
          <w:color w:val="002060"/>
          <w:szCs w:val="21"/>
        </w:rPr>
      </w:pPr>
      <w:r w:rsidRPr="00183E27">
        <w:rPr>
          <w:color w:val="002060"/>
          <w:szCs w:val="21"/>
        </w:rPr>
        <w:t xml:space="preserve">Il a été </w:t>
      </w:r>
      <w:r w:rsidRPr="00183E27">
        <w:rPr>
          <w:b/>
          <w:color w:val="002060"/>
          <w:szCs w:val="21"/>
        </w:rPr>
        <w:t>élaboré avec le concours des acteurs de santé régionaux</w:t>
      </w:r>
      <w:r w:rsidRPr="00183E27">
        <w:rPr>
          <w:color w:val="002060"/>
          <w:szCs w:val="21"/>
        </w:rPr>
        <w:t xml:space="preserve"> sur la base de plus de 100 réunions de concertation et groupes techniques et d’une phase de consultation de trois mois. Cette phase a permis de recueillir </w:t>
      </w:r>
      <w:r w:rsidRPr="00183E27">
        <w:rPr>
          <w:b/>
          <w:color w:val="002060"/>
          <w:szCs w:val="21"/>
        </w:rPr>
        <w:t>120 contributions qui ont enrichi le PRS</w:t>
      </w:r>
      <w:r w:rsidRPr="00183E27">
        <w:rPr>
          <w:color w:val="002060"/>
          <w:szCs w:val="21"/>
        </w:rPr>
        <w:t xml:space="preserve"> dans toutes ses composantes.</w:t>
      </w:r>
    </w:p>
    <w:p w:rsidR="00BC58F9" w:rsidRPr="00BC58F9" w:rsidRDefault="00BC58F9" w:rsidP="00BC58F9">
      <w:pPr>
        <w:spacing w:after="0" w:line="240" w:lineRule="auto"/>
        <w:jc w:val="both"/>
        <w:rPr>
          <w:color w:val="002060"/>
          <w:szCs w:val="21"/>
        </w:rPr>
      </w:pPr>
    </w:p>
    <w:p w:rsidR="00183E27" w:rsidRDefault="00183E27" w:rsidP="00183E27">
      <w:pPr>
        <w:shd w:val="clear" w:color="auto" w:fill="339966"/>
        <w:spacing w:after="0" w:line="240" w:lineRule="auto"/>
        <w:jc w:val="both"/>
        <w:outlineLvl w:val="0"/>
        <w:rPr>
          <w:b/>
          <w:color w:val="FFFFFF" w:themeColor="background1"/>
          <w:sz w:val="28"/>
          <w:szCs w:val="20"/>
        </w:rPr>
      </w:pPr>
      <w:r>
        <w:rPr>
          <w:b/>
          <w:color w:val="FFFFFF" w:themeColor="background1"/>
          <w:sz w:val="28"/>
          <w:szCs w:val="20"/>
        </w:rPr>
        <w:t>Un PRS tourné vers l’action</w:t>
      </w:r>
    </w:p>
    <w:p w:rsidR="00183E27" w:rsidRDefault="00183E27" w:rsidP="00183E27">
      <w:pPr>
        <w:spacing w:after="0" w:line="240" w:lineRule="auto"/>
        <w:rPr>
          <w:sz w:val="28"/>
          <w:szCs w:val="20"/>
        </w:rPr>
      </w:pPr>
    </w:p>
    <w:p w:rsidR="00183E27" w:rsidRPr="00183E27" w:rsidRDefault="00183E27" w:rsidP="00183E27">
      <w:pPr>
        <w:spacing w:after="0" w:line="240" w:lineRule="auto"/>
        <w:jc w:val="both"/>
        <w:rPr>
          <w:rFonts w:cs="Arial"/>
          <w:color w:val="002060"/>
          <w:szCs w:val="21"/>
        </w:rPr>
      </w:pPr>
      <w:r w:rsidRPr="00183E27">
        <w:rPr>
          <w:rFonts w:cs="Arial"/>
          <w:color w:val="002060"/>
          <w:szCs w:val="21"/>
        </w:rPr>
        <w:t xml:space="preserve">La région Nouvelle-Aquitaine est constituée de territoires contrastés, le PRS sera décliné en </w:t>
      </w:r>
      <w:r w:rsidRPr="00183E27">
        <w:rPr>
          <w:rFonts w:cs="Arial"/>
          <w:b/>
          <w:color w:val="002060"/>
          <w:szCs w:val="21"/>
        </w:rPr>
        <w:t>plans d’action départementaux</w:t>
      </w:r>
      <w:r w:rsidRPr="00183E27">
        <w:rPr>
          <w:rFonts w:cs="Arial"/>
          <w:color w:val="002060"/>
          <w:szCs w:val="21"/>
        </w:rPr>
        <w:t xml:space="preserve"> pour adapter la politique régionale aux spécificités de chaque territoire, en lien étroit avec les conseils territoriaux de santé (CTS).</w:t>
      </w:r>
    </w:p>
    <w:p w:rsidR="00183E27" w:rsidRPr="00183E27" w:rsidRDefault="00183E27" w:rsidP="00183E27">
      <w:pPr>
        <w:spacing w:after="0" w:line="240" w:lineRule="auto"/>
        <w:jc w:val="both"/>
        <w:rPr>
          <w:rFonts w:cs="Arial"/>
          <w:b/>
          <w:color w:val="002060"/>
          <w:szCs w:val="21"/>
        </w:rPr>
      </w:pPr>
    </w:p>
    <w:p w:rsidR="00183E27" w:rsidRDefault="00183E27" w:rsidP="000F7B01">
      <w:pPr>
        <w:spacing w:after="0" w:line="240" w:lineRule="auto"/>
        <w:jc w:val="both"/>
        <w:rPr>
          <w:rFonts w:cs="Arial"/>
          <w:color w:val="002060"/>
          <w:szCs w:val="21"/>
        </w:rPr>
      </w:pPr>
      <w:r w:rsidRPr="00183E27">
        <w:rPr>
          <w:rFonts w:cs="Arial"/>
          <w:b/>
          <w:color w:val="002060"/>
          <w:szCs w:val="21"/>
        </w:rPr>
        <w:t>L’impact du déploiement du PRS Nouvelle-Aquitaine sera suivi régulièrement</w:t>
      </w:r>
      <w:r w:rsidRPr="00183E27">
        <w:rPr>
          <w:rFonts w:cs="Arial"/>
          <w:color w:val="002060"/>
          <w:szCs w:val="21"/>
        </w:rPr>
        <w:t xml:space="preserve"> au travers de 18 résultats à atteindre fixés à 10 ans (avec des cibles quantifiées). Ils seront évalués au travers de </w:t>
      </w:r>
      <w:r w:rsidRPr="00183E27">
        <w:rPr>
          <w:rFonts w:cs="Arial"/>
          <w:b/>
          <w:color w:val="002060"/>
          <w:szCs w:val="21"/>
        </w:rPr>
        <w:t>38 indicateurs « traceurs »</w:t>
      </w:r>
      <w:r w:rsidRPr="00183E27">
        <w:rPr>
          <w:rFonts w:cs="Arial"/>
          <w:color w:val="002060"/>
          <w:szCs w:val="21"/>
        </w:rPr>
        <w:t xml:space="preserve"> et permettront d’adapter la mise en œuvre concrète de la politique de santé régionale. </w:t>
      </w:r>
    </w:p>
    <w:p w:rsidR="000F7B01" w:rsidRPr="000F7B01" w:rsidRDefault="000F7B01" w:rsidP="000F7B01">
      <w:pPr>
        <w:spacing w:after="0" w:line="240" w:lineRule="auto"/>
        <w:jc w:val="both"/>
        <w:rPr>
          <w:rFonts w:cs="Arial"/>
          <w:color w:val="002060"/>
          <w:sz w:val="24"/>
          <w:szCs w:val="19"/>
        </w:rPr>
      </w:pPr>
    </w:p>
    <w:p w:rsidR="000F7B01" w:rsidRPr="000F7B01" w:rsidRDefault="000F7B01" w:rsidP="000F7B01">
      <w:pPr>
        <w:shd w:val="clear" w:color="auto" w:fill="339966"/>
        <w:spacing w:after="0" w:line="240" w:lineRule="auto"/>
        <w:jc w:val="both"/>
        <w:outlineLvl w:val="0"/>
        <w:rPr>
          <w:b/>
          <w:color w:val="FFFFFF" w:themeColor="background1"/>
          <w:sz w:val="28"/>
          <w:szCs w:val="20"/>
        </w:rPr>
      </w:pPr>
      <w:r w:rsidRPr="000F7B01">
        <w:rPr>
          <w:b/>
          <w:color w:val="FFFFFF" w:themeColor="background1"/>
          <w:sz w:val="28"/>
          <w:szCs w:val="20"/>
        </w:rPr>
        <w:t>Pour en savoir plus et découvrir les actions proposées par le PRS</w:t>
      </w:r>
    </w:p>
    <w:p w:rsidR="000F7B01" w:rsidRPr="000F7B01" w:rsidRDefault="000F7B01" w:rsidP="000F7B01">
      <w:pPr>
        <w:spacing w:after="0" w:line="240" w:lineRule="auto"/>
        <w:rPr>
          <w:color w:val="002060"/>
          <w:szCs w:val="21"/>
        </w:rPr>
      </w:pPr>
    </w:p>
    <w:p w:rsidR="00BC58F9" w:rsidRDefault="000F7B01" w:rsidP="000F7B01">
      <w:pPr>
        <w:spacing w:after="0" w:line="240" w:lineRule="auto"/>
        <w:rPr>
          <w:color w:val="002060"/>
          <w:szCs w:val="21"/>
        </w:rPr>
      </w:pPr>
      <w:r w:rsidRPr="000F7B01">
        <w:rPr>
          <w:color w:val="002060"/>
          <w:szCs w:val="21"/>
        </w:rPr>
        <w:t>Consultez les 3 documents constitutifs du PRS </w:t>
      </w:r>
      <w:hyperlink r:id="rId9" w:history="1">
        <w:r w:rsidR="00BC58F9" w:rsidRPr="000D2B7E">
          <w:rPr>
            <w:rStyle w:val="Lienhypertexte"/>
            <w:b/>
            <w:szCs w:val="20"/>
          </w:rPr>
          <w:t>en cliquant ici</w:t>
        </w:r>
      </w:hyperlink>
    </w:p>
    <w:p w:rsidR="000F7B01" w:rsidRPr="000F7B01" w:rsidRDefault="000F7B01" w:rsidP="000F7B01">
      <w:pPr>
        <w:spacing w:after="0" w:line="240" w:lineRule="auto"/>
        <w:rPr>
          <w:color w:val="002060"/>
          <w:szCs w:val="21"/>
        </w:rPr>
      </w:pPr>
    </w:p>
    <w:p w:rsidR="000F7B01" w:rsidRPr="000F7B01" w:rsidRDefault="000F7B01" w:rsidP="000F7B01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299A73"/>
        </w:rPr>
      </w:pPr>
      <w:r w:rsidRPr="000F7B01">
        <w:rPr>
          <w:b/>
          <w:color w:val="299A73"/>
        </w:rPr>
        <w:t>Le Cadre d’orientation stratégique (COS) 2018-2028</w:t>
      </w:r>
    </w:p>
    <w:p w:rsidR="000F7B01" w:rsidRDefault="000F7B01" w:rsidP="000F7B01">
      <w:pPr>
        <w:pStyle w:val="Paragraphedeliste"/>
        <w:spacing w:after="0" w:line="240" w:lineRule="auto"/>
        <w:rPr>
          <w:color w:val="002060"/>
          <w:szCs w:val="21"/>
        </w:rPr>
      </w:pPr>
      <w:r w:rsidRPr="000F7B01">
        <w:rPr>
          <w:b/>
          <w:color w:val="002060"/>
          <w:szCs w:val="21"/>
        </w:rPr>
        <w:t>5 orientations stratégiques</w:t>
      </w:r>
      <w:r w:rsidRPr="000F7B01">
        <w:rPr>
          <w:color w:val="002060"/>
          <w:szCs w:val="21"/>
        </w:rPr>
        <w:t xml:space="preserve"> pour répondre aux enjeux de santé en Nouvelle-Aquitaine</w:t>
      </w:r>
    </w:p>
    <w:p w:rsidR="000F7B01" w:rsidRDefault="000F7B01" w:rsidP="00BC58F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0F7B01">
        <w:rPr>
          <w:color w:val="002060"/>
          <w:szCs w:val="21"/>
        </w:rPr>
        <w:t>Amplifier les actions sur les</w:t>
      </w:r>
      <w:r>
        <w:rPr>
          <w:color w:val="002060"/>
          <w:szCs w:val="21"/>
        </w:rPr>
        <w:t xml:space="preserve"> </w:t>
      </w:r>
      <w:r w:rsidRPr="000F7B01">
        <w:rPr>
          <w:color w:val="002060"/>
          <w:szCs w:val="21"/>
        </w:rPr>
        <w:t>déterminants de santé et la</w:t>
      </w:r>
      <w:r>
        <w:rPr>
          <w:color w:val="002060"/>
          <w:szCs w:val="21"/>
        </w:rPr>
        <w:t xml:space="preserve"> </w:t>
      </w:r>
      <w:r w:rsidRPr="000F7B01">
        <w:rPr>
          <w:color w:val="002060"/>
          <w:szCs w:val="21"/>
        </w:rPr>
        <w:t>promotion de la santé,</w:t>
      </w:r>
    </w:p>
    <w:p w:rsidR="000F7B01" w:rsidRDefault="000F7B01" w:rsidP="00BC58F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0F7B01">
        <w:rPr>
          <w:color w:val="002060"/>
          <w:szCs w:val="21"/>
        </w:rPr>
        <w:t>Promouvoir un accès équitable à</w:t>
      </w:r>
      <w:r>
        <w:rPr>
          <w:color w:val="002060"/>
          <w:szCs w:val="21"/>
        </w:rPr>
        <w:t xml:space="preserve"> </w:t>
      </w:r>
      <w:r w:rsidRPr="000F7B01">
        <w:rPr>
          <w:color w:val="002060"/>
          <w:szCs w:val="21"/>
        </w:rPr>
        <w:t>la santé sur les territoires,</w:t>
      </w:r>
    </w:p>
    <w:p w:rsidR="000F7B01" w:rsidRDefault="000F7B01" w:rsidP="00BC58F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0F7B01">
        <w:rPr>
          <w:color w:val="002060"/>
          <w:szCs w:val="21"/>
        </w:rPr>
        <w:t>Renforcer la coordination des</w:t>
      </w:r>
      <w:r>
        <w:rPr>
          <w:color w:val="002060"/>
          <w:szCs w:val="21"/>
        </w:rPr>
        <w:t xml:space="preserve"> </w:t>
      </w:r>
      <w:r w:rsidRPr="000F7B01">
        <w:rPr>
          <w:color w:val="002060"/>
          <w:szCs w:val="21"/>
        </w:rPr>
        <w:t>acteurs et améliorer les parcours</w:t>
      </w:r>
      <w:r>
        <w:rPr>
          <w:color w:val="002060"/>
          <w:szCs w:val="21"/>
        </w:rPr>
        <w:t xml:space="preserve"> </w:t>
      </w:r>
      <w:r w:rsidRPr="000F7B01">
        <w:rPr>
          <w:color w:val="002060"/>
          <w:szCs w:val="21"/>
        </w:rPr>
        <w:t>de santé,</w:t>
      </w:r>
    </w:p>
    <w:p w:rsidR="000F7B01" w:rsidRDefault="000F7B01" w:rsidP="00BC58F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0F7B01">
        <w:rPr>
          <w:color w:val="002060"/>
          <w:szCs w:val="21"/>
        </w:rPr>
        <w:t>Renforcer la démocratie sanitaire</w:t>
      </w:r>
      <w:r>
        <w:rPr>
          <w:color w:val="002060"/>
          <w:szCs w:val="21"/>
        </w:rPr>
        <w:t xml:space="preserve"> </w:t>
      </w:r>
      <w:r w:rsidRPr="000F7B01">
        <w:rPr>
          <w:color w:val="002060"/>
          <w:szCs w:val="21"/>
        </w:rPr>
        <w:t>et la place du citoyen, acteur de</w:t>
      </w:r>
      <w:r>
        <w:rPr>
          <w:color w:val="002060"/>
          <w:szCs w:val="21"/>
        </w:rPr>
        <w:t xml:space="preserve"> </w:t>
      </w:r>
      <w:r w:rsidRPr="000F7B01">
        <w:rPr>
          <w:color w:val="002060"/>
          <w:szCs w:val="21"/>
        </w:rPr>
        <w:t>sa santé et du système de santé,</w:t>
      </w:r>
    </w:p>
    <w:p w:rsidR="000F7B01" w:rsidRPr="000F7B01" w:rsidRDefault="000F7B01" w:rsidP="00BC58F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0F7B01">
        <w:rPr>
          <w:color w:val="002060"/>
          <w:szCs w:val="21"/>
        </w:rPr>
        <w:t>Soutenir et amplifier l’innovation</w:t>
      </w:r>
      <w:r>
        <w:rPr>
          <w:color w:val="002060"/>
          <w:szCs w:val="21"/>
        </w:rPr>
        <w:t xml:space="preserve"> </w:t>
      </w:r>
      <w:r w:rsidRPr="000F7B01">
        <w:rPr>
          <w:color w:val="002060"/>
          <w:szCs w:val="21"/>
        </w:rPr>
        <w:t>au service de la qualité et de l’efficience du système de santé.</w:t>
      </w:r>
    </w:p>
    <w:p w:rsidR="000F7B01" w:rsidRPr="000F7B01" w:rsidRDefault="000F7B01" w:rsidP="000F7B0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3D0765" w:rsidRPr="003D0765" w:rsidRDefault="000F7B01" w:rsidP="003D0765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299A73"/>
        </w:rPr>
      </w:pPr>
      <w:r w:rsidRPr="003D0765">
        <w:rPr>
          <w:b/>
          <w:color w:val="299A73"/>
        </w:rPr>
        <w:t>Le Schéma régional de santé (SRS) 2018-2023</w:t>
      </w:r>
    </w:p>
    <w:p w:rsidR="000F7B01" w:rsidRPr="003D0765" w:rsidRDefault="003D0765" w:rsidP="003D0765">
      <w:pPr>
        <w:pStyle w:val="Paragraphedeliste"/>
        <w:spacing w:after="0" w:line="240" w:lineRule="auto"/>
        <w:rPr>
          <w:color w:val="002060"/>
          <w:szCs w:val="21"/>
        </w:rPr>
      </w:pPr>
      <w:r w:rsidRPr="003D0765">
        <w:rPr>
          <w:b/>
          <w:color w:val="002060"/>
          <w:szCs w:val="21"/>
        </w:rPr>
        <w:t xml:space="preserve">3 </w:t>
      </w:r>
      <w:r w:rsidR="000F7B01" w:rsidRPr="003D0765">
        <w:rPr>
          <w:b/>
          <w:color w:val="002060"/>
          <w:szCs w:val="21"/>
        </w:rPr>
        <w:t>axes opérationnels</w:t>
      </w:r>
      <w:r w:rsidR="000F7B01" w:rsidRPr="003D0765">
        <w:rPr>
          <w:color w:val="002060"/>
          <w:szCs w:val="21"/>
        </w:rPr>
        <w:t xml:space="preserve"> pour mettre</w:t>
      </w:r>
      <w:r>
        <w:rPr>
          <w:color w:val="002060"/>
          <w:szCs w:val="21"/>
        </w:rPr>
        <w:t xml:space="preserve"> </w:t>
      </w:r>
      <w:r w:rsidR="000F7B01" w:rsidRPr="003D0765">
        <w:rPr>
          <w:color w:val="002060"/>
          <w:szCs w:val="21"/>
        </w:rPr>
        <w:t xml:space="preserve">en </w:t>
      </w:r>
      <w:r w:rsidRPr="003D0765">
        <w:rPr>
          <w:color w:val="002060"/>
          <w:szCs w:val="21"/>
        </w:rPr>
        <w:t>œuvre</w:t>
      </w:r>
      <w:r w:rsidR="000F7B01" w:rsidRPr="003D0765">
        <w:rPr>
          <w:color w:val="002060"/>
          <w:szCs w:val="21"/>
        </w:rPr>
        <w:t xml:space="preserve"> les orientations du COS</w:t>
      </w:r>
    </w:p>
    <w:p w:rsidR="003D0765" w:rsidRDefault="003D0765" w:rsidP="00BC58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3D0765">
        <w:rPr>
          <w:color w:val="002060"/>
          <w:szCs w:val="21"/>
        </w:rPr>
        <w:t>Renforcer l’action sur les</w:t>
      </w:r>
      <w:r>
        <w:rPr>
          <w:color w:val="002060"/>
          <w:szCs w:val="21"/>
        </w:rPr>
        <w:t xml:space="preserve"> </w:t>
      </w:r>
      <w:r w:rsidRPr="003D0765">
        <w:rPr>
          <w:color w:val="002060"/>
          <w:szCs w:val="21"/>
        </w:rPr>
        <w:t>déterminants de santé pour</w:t>
      </w:r>
      <w:r>
        <w:rPr>
          <w:color w:val="002060"/>
          <w:szCs w:val="21"/>
        </w:rPr>
        <w:t xml:space="preserve"> </w:t>
      </w:r>
      <w:r w:rsidRPr="003D0765">
        <w:rPr>
          <w:color w:val="002060"/>
          <w:szCs w:val="21"/>
        </w:rPr>
        <w:t>réduire les atteintes évitables à la</w:t>
      </w:r>
      <w:r>
        <w:rPr>
          <w:color w:val="002060"/>
          <w:szCs w:val="21"/>
        </w:rPr>
        <w:t xml:space="preserve"> </w:t>
      </w:r>
      <w:r w:rsidRPr="003D0765">
        <w:rPr>
          <w:color w:val="002060"/>
          <w:szCs w:val="21"/>
        </w:rPr>
        <w:t>santé,</w:t>
      </w:r>
    </w:p>
    <w:p w:rsidR="003D0765" w:rsidRDefault="003D0765" w:rsidP="00BC58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3D0765">
        <w:rPr>
          <w:color w:val="002060"/>
          <w:szCs w:val="21"/>
        </w:rPr>
        <w:t>Organiser un système de</w:t>
      </w:r>
      <w:r>
        <w:rPr>
          <w:color w:val="002060"/>
          <w:szCs w:val="21"/>
        </w:rPr>
        <w:t xml:space="preserve"> </w:t>
      </w:r>
      <w:r w:rsidRPr="003D0765">
        <w:rPr>
          <w:color w:val="002060"/>
          <w:szCs w:val="21"/>
        </w:rPr>
        <w:t>santé de qualité, coordonné</w:t>
      </w:r>
      <w:r>
        <w:rPr>
          <w:color w:val="002060"/>
          <w:szCs w:val="21"/>
        </w:rPr>
        <w:t xml:space="preserve"> </w:t>
      </w:r>
      <w:r w:rsidRPr="003D0765">
        <w:rPr>
          <w:color w:val="002060"/>
          <w:szCs w:val="21"/>
        </w:rPr>
        <w:t>et accessible à tous, dans une</w:t>
      </w:r>
      <w:r>
        <w:rPr>
          <w:color w:val="002060"/>
          <w:szCs w:val="21"/>
        </w:rPr>
        <w:t xml:space="preserve"> </w:t>
      </w:r>
      <w:r w:rsidRPr="003D0765">
        <w:rPr>
          <w:color w:val="002060"/>
          <w:szCs w:val="21"/>
        </w:rPr>
        <w:t>logique de parcours de santé,</w:t>
      </w:r>
    </w:p>
    <w:p w:rsidR="000F7B01" w:rsidRDefault="003D0765" w:rsidP="00BC58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3D0765">
        <w:rPr>
          <w:color w:val="002060"/>
          <w:szCs w:val="21"/>
        </w:rPr>
        <w:t>Garantir la qualité, la sécurité</w:t>
      </w:r>
      <w:r>
        <w:rPr>
          <w:color w:val="002060"/>
          <w:szCs w:val="21"/>
        </w:rPr>
        <w:t xml:space="preserve"> </w:t>
      </w:r>
      <w:r w:rsidRPr="003D0765">
        <w:rPr>
          <w:color w:val="002060"/>
          <w:szCs w:val="21"/>
        </w:rPr>
        <w:t>et la pertinence des prises en</w:t>
      </w:r>
      <w:r>
        <w:rPr>
          <w:color w:val="002060"/>
          <w:szCs w:val="21"/>
        </w:rPr>
        <w:t xml:space="preserve"> </w:t>
      </w:r>
      <w:r w:rsidRPr="003D0765">
        <w:rPr>
          <w:color w:val="002060"/>
          <w:szCs w:val="21"/>
        </w:rPr>
        <w:t>charge.</w:t>
      </w:r>
    </w:p>
    <w:p w:rsidR="003D0765" w:rsidRDefault="003D0765" w:rsidP="003D0765">
      <w:p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</w:p>
    <w:p w:rsidR="00BC58F9" w:rsidRPr="00BC58F9" w:rsidRDefault="003D0765" w:rsidP="00BC58F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color w:val="299A73"/>
        </w:rPr>
      </w:pPr>
      <w:r w:rsidRPr="00BC58F9">
        <w:rPr>
          <w:b/>
          <w:color w:val="299A73"/>
        </w:rPr>
        <w:t>Le Programme régional pour l’accès aux soins et à la prévention des plus démunis (PRAPS) 2018-2023</w:t>
      </w:r>
    </w:p>
    <w:p w:rsidR="003D0765" w:rsidRDefault="00BC58F9" w:rsidP="00BC58F9">
      <w:pPr>
        <w:pStyle w:val="Paragraphedeliste"/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  <w:r w:rsidRPr="00BC58F9">
        <w:rPr>
          <w:b/>
          <w:color w:val="002060"/>
          <w:szCs w:val="21"/>
        </w:rPr>
        <w:t xml:space="preserve">6 </w:t>
      </w:r>
      <w:r w:rsidR="003D0765" w:rsidRPr="00BC58F9">
        <w:rPr>
          <w:b/>
          <w:color w:val="002060"/>
          <w:szCs w:val="21"/>
        </w:rPr>
        <w:t>objectifs opérationnels</w:t>
      </w:r>
      <w:r w:rsidR="003D0765" w:rsidRPr="00BC58F9">
        <w:rPr>
          <w:color w:val="002060"/>
          <w:szCs w:val="21"/>
        </w:rPr>
        <w:t xml:space="preserve"> </w:t>
      </w:r>
      <w:r w:rsidRPr="00BC58F9">
        <w:rPr>
          <w:color w:val="002060"/>
          <w:szCs w:val="21"/>
        </w:rPr>
        <w:t xml:space="preserve">du SRS </w:t>
      </w:r>
      <w:r w:rsidR="003D0765" w:rsidRPr="00BC58F9">
        <w:rPr>
          <w:color w:val="002060"/>
          <w:szCs w:val="21"/>
        </w:rPr>
        <w:t>dé</w:t>
      </w:r>
      <w:r w:rsidRPr="00BC58F9">
        <w:rPr>
          <w:color w:val="002060"/>
          <w:szCs w:val="21"/>
        </w:rPr>
        <w:t xml:space="preserve">clinés spécifiquement en faveur </w:t>
      </w:r>
      <w:r w:rsidR="003D0765" w:rsidRPr="00BC58F9">
        <w:rPr>
          <w:color w:val="002060"/>
          <w:szCs w:val="21"/>
        </w:rPr>
        <w:t>des publics les plus vulnérables.</w:t>
      </w:r>
    </w:p>
    <w:p w:rsidR="00BC58F9" w:rsidRDefault="00BC58F9" w:rsidP="00BC58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BC58F9">
        <w:rPr>
          <w:color w:val="002060"/>
          <w:szCs w:val="21"/>
        </w:rPr>
        <w:t>Prioriser les actions pour les jeunes de 0 à 25 ans,</w:t>
      </w:r>
    </w:p>
    <w:p w:rsidR="00BC58F9" w:rsidRDefault="00BC58F9" w:rsidP="00BC58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BC58F9">
        <w:rPr>
          <w:color w:val="002060"/>
          <w:szCs w:val="21"/>
        </w:rPr>
        <w:t>Renforcer le pouvoir d’agir des</w:t>
      </w:r>
      <w:r>
        <w:rPr>
          <w:color w:val="002060"/>
          <w:szCs w:val="21"/>
        </w:rPr>
        <w:t xml:space="preserve"> </w:t>
      </w:r>
      <w:r w:rsidRPr="00BC58F9">
        <w:rPr>
          <w:color w:val="002060"/>
          <w:szCs w:val="21"/>
        </w:rPr>
        <w:t>personnes,</w:t>
      </w:r>
    </w:p>
    <w:p w:rsidR="00BC58F9" w:rsidRDefault="00BC58F9" w:rsidP="00BC58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BC58F9">
        <w:rPr>
          <w:color w:val="002060"/>
          <w:szCs w:val="21"/>
        </w:rPr>
        <w:t>Développer les dispositifs</w:t>
      </w:r>
      <w:r>
        <w:rPr>
          <w:color w:val="002060"/>
          <w:szCs w:val="21"/>
        </w:rPr>
        <w:t xml:space="preserve"> </w:t>
      </w:r>
      <w:r w:rsidRPr="00BC58F9">
        <w:rPr>
          <w:color w:val="002060"/>
          <w:szCs w:val="21"/>
        </w:rPr>
        <w:t>d’accès aux soins et aux droits,</w:t>
      </w:r>
    </w:p>
    <w:p w:rsidR="00BC58F9" w:rsidRDefault="00BC58F9" w:rsidP="00BC58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BC58F9">
        <w:rPr>
          <w:color w:val="002060"/>
          <w:szCs w:val="21"/>
        </w:rPr>
        <w:t>Éviter les ruptures de parcours,</w:t>
      </w:r>
    </w:p>
    <w:p w:rsidR="00BC58F9" w:rsidRDefault="00BC58F9" w:rsidP="00BC58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BC58F9">
        <w:rPr>
          <w:color w:val="002060"/>
          <w:szCs w:val="21"/>
        </w:rPr>
        <w:t>Prioriser les territoires fragiles,</w:t>
      </w:r>
    </w:p>
    <w:p w:rsidR="00BC58F9" w:rsidRDefault="00BC58F9" w:rsidP="00BC58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color w:val="002060"/>
          <w:szCs w:val="21"/>
        </w:rPr>
      </w:pPr>
      <w:r w:rsidRPr="00BC58F9">
        <w:rPr>
          <w:color w:val="002060"/>
          <w:szCs w:val="21"/>
        </w:rPr>
        <w:lastRenderedPageBreak/>
        <w:t>Agir sur le logement et</w:t>
      </w:r>
      <w:r>
        <w:rPr>
          <w:color w:val="002060"/>
          <w:szCs w:val="21"/>
        </w:rPr>
        <w:t xml:space="preserve"> </w:t>
      </w:r>
      <w:r w:rsidRPr="00BC58F9">
        <w:rPr>
          <w:color w:val="002060"/>
          <w:szCs w:val="21"/>
        </w:rPr>
        <w:t>l’hébergement.</w:t>
      </w:r>
    </w:p>
    <w:p w:rsidR="006C795C" w:rsidRDefault="006C795C" w:rsidP="006C795C">
      <w:p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</w:p>
    <w:p w:rsidR="006C795C" w:rsidRPr="000F7B01" w:rsidRDefault="006C795C" w:rsidP="006C795C">
      <w:pPr>
        <w:shd w:val="clear" w:color="auto" w:fill="339966"/>
        <w:spacing w:after="0" w:line="240" w:lineRule="auto"/>
        <w:jc w:val="both"/>
        <w:outlineLvl w:val="0"/>
        <w:rPr>
          <w:b/>
          <w:color w:val="FFFFFF" w:themeColor="background1"/>
          <w:sz w:val="28"/>
          <w:szCs w:val="20"/>
        </w:rPr>
      </w:pPr>
      <w:r>
        <w:rPr>
          <w:b/>
          <w:color w:val="FFFFFF" w:themeColor="background1"/>
          <w:sz w:val="28"/>
          <w:szCs w:val="20"/>
        </w:rPr>
        <w:t>Des outils de communication à télécharger et partager</w:t>
      </w:r>
    </w:p>
    <w:p w:rsidR="006C795C" w:rsidRDefault="006C795C" w:rsidP="006C795C">
      <w:p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</w:p>
    <w:p w:rsidR="006C795C" w:rsidRDefault="006C795C" w:rsidP="006C795C">
      <w:p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  <w:r>
        <w:rPr>
          <w:color w:val="002060"/>
          <w:szCs w:val="21"/>
        </w:rPr>
        <w:t>L’ARS met à votre disposition plusieurs outils de communication pour vous permettre de faire connaître le PRS :</w:t>
      </w:r>
    </w:p>
    <w:p w:rsidR="006C795C" w:rsidRDefault="006C795C" w:rsidP="006C795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  <w:r>
        <w:rPr>
          <w:color w:val="002060"/>
          <w:szCs w:val="21"/>
        </w:rPr>
        <w:t xml:space="preserve">La </w:t>
      </w:r>
      <w:r w:rsidRPr="00041C00">
        <w:rPr>
          <w:b/>
          <w:color w:val="002060"/>
          <w:szCs w:val="21"/>
        </w:rPr>
        <w:t>plaquette</w:t>
      </w:r>
      <w:r>
        <w:rPr>
          <w:color w:val="002060"/>
          <w:szCs w:val="21"/>
        </w:rPr>
        <w:t xml:space="preserve"> « Comprendre le PRS Nouvelle-Aquitaine 2018-2028 »</w:t>
      </w:r>
    </w:p>
    <w:p w:rsidR="006C795C" w:rsidRDefault="006C795C" w:rsidP="006C795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  <w:r>
        <w:rPr>
          <w:color w:val="002060"/>
          <w:szCs w:val="21"/>
        </w:rPr>
        <w:t xml:space="preserve">Le </w:t>
      </w:r>
      <w:r w:rsidRPr="00041C00">
        <w:rPr>
          <w:b/>
          <w:color w:val="002060"/>
          <w:szCs w:val="21"/>
        </w:rPr>
        <w:t>dossier de presse</w:t>
      </w:r>
    </w:p>
    <w:p w:rsidR="006C795C" w:rsidRDefault="006C795C" w:rsidP="006C795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  <w:r>
        <w:rPr>
          <w:color w:val="002060"/>
          <w:szCs w:val="21"/>
        </w:rPr>
        <w:t xml:space="preserve">Le </w:t>
      </w:r>
      <w:r w:rsidRPr="00041C00">
        <w:rPr>
          <w:b/>
          <w:color w:val="002060"/>
          <w:szCs w:val="21"/>
        </w:rPr>
        <w:t>diaporama de présentation</w:t>
      </w:r>
    </w:p>
    <w:p w:rsidR="006C795C" w:rsidRDefault="006C795C" w:rsidP="006C795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  <w:r>
        <w:rPr>
          <w:color w:val="002060"/>
          <w:szCs w:val="21"/>
        </w:rPr>
        <w:t xml:space="preserve">Un </w:t>
      </w:r>
      <w:r w:rsidRPr="00041C00">
        <w:rPr>
          <w:b/>
          <w:color w:val="002060"/>
          <w:szCs w:val="21"/>
        </w:rPr>
        <w:t>article clé en main</w:t>
      </w:r>
      <w:r>
        <w:rPr>
          <w:color w:val="002060"/>
          <w:szCs w:val="21"/>
        </w:rPr>
        <w:t xml:space="preserve"> pour diffuser l’information sur vos propres supports de communication</w:t>
      </w:r>
    </w:p>
    <w:p w:rsidR="006C795C" w:rsidRDefault="006C795C" w:rsidP="006C795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  <w:r>
        <w:rPr>
          <w:color w:val="002060"/>
          <w:szCs w:val="21"/>
        </w:rPr>
        <w:t xml:space="preserve">Une </w:t>
      </w:r>
      <w:r w:rsidRPr="00041C00">
        <w:rPr>
          <w:b/>
          <w:color w:val="002060"/>
          <w:szCs w:val="21"/>
        </w:rPr>
        <w:t>vidéo</w:t>
      </w:r>
      <w:r>
        <w:rPr>
          <w:color w:val="002060"/>
          <w:szCs w:val="21"/>
        </w:rPr>
        <w:t xml:space="preserve"> présentant le PRS en 3 min : </w:t>
      </w:r>
      <w:hyperlink r:id="rId10" w:history="1">
        <w:r w:rsidRPr="00642271">
          <w:rPr>
            <w:rStyle w:val="Lienhypertexte"/>
            <w:szCs w:val="21"/>
          </w:rPr>
          <w:t>https://www.youtube.com/watch?v=nEAZ_HQ0tPI</w:t>
        </w:r>
      </w:hyperlink>
      <w:r>
        <w:rPr>
          <w:color w:val="002060"/>
          <w:szCs w:val="21"/>
        </w:rPr>
        <w:t xml:space="preserve"> </w:t>
      </w:r>
    </w:p>
    <w:p w:rsidR="006C795C" w:rsidRDefault="006C795C" w:rsidP="006C795C">
      <w:p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</w:p>
    <w:p w:rsidR="006C795C" w:rsidRPr="006C795C" w:rsidRDefault="006C795C" w:rsidP="006C795C">
      <w:pPr>
        <w:autoSpaceDE w:val="0"/>
        <w:autoSpaceDN w:val="0"/>
        <w:adjustRightInd w:val="0"/>
        <w:spacing w:after="0" w:line="240" w:lineRule="auto"/>
        <w:rPr>
          <w:color w:val="002060"/>
          <w:szCs w:val="21"/>
        </w:rPr>
      </w:pPr>
      <w:r>
        <w:rPr>
          <w:color w:val="002060"/>
          <w:szCs w:val="21"/>
        </w:rPr>
        <w:t xml:space="preserve">Retrouvez tous ces outils </w:t>
      </w:r>
      <w:hyperlink r:id="rId11" w:history="1">
        <w:r w:rsidRPr="000D2B7E">
          <w:rPr>
            <w:rStyle w:val="Lienhypertexte"/>
            <w:b/>
            <w:szCs w:val="20"/>
          </w:rPr>
          <w:t>en cliquant ici</w:t>
        </w:r>
      </w:hyperlink>
    </w:p>
    <w:sectPr w:rsidR="006C795C" w:rsidRPr="006C795C" w:rsidSect="00BC58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27" w:rsidRDefault="00183E27" w:rsidP="00183E27">
      <w:pPr>
        <w:spacing w:after="0" w:line="240" w:lineRule="auto"/>
      </w:pPr>
      <w:r>
        <w:separator/>
      </w:r>
    </w:p>
  </w:endnote>
  <w:endnote w:type="continuationSeparator" w:id="0">
    <w:p w:rsidR="00183E27" w:rsidRDefault="00183E27" w:rsidP="0018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27" w:rsidRDefault="00183E27" w:rsidP="00183E27">
      <w:pPr>
        <w:spacing w:after="0" w:line="240" w:lineRule="auto"/>
      </w:pPr>
      <w:r>
        <w:separator/>
      </w:r>
    </w:p>
  </w:footnote>
  <w:footnote w:type="continuationSeparator" w:id="0">
    <w:p w:rsidR="00183E27" w:rsidRDefault="00183E27" w:rsidP="00183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C7B"/>
    <w:multiLevelType w:val="hybridMultilevel"/>
    <w:tmpl w:val="58ECD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612BD"/>
    <w:multiLevelType w:val="hybridMultilevel"/>
    <w:tmpl w:val="2C10AFA8"/>
    <w:lvl w:ilvl="0" w:tplc="8D6C03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2E38"/>
    <w:multiLevelType w:val="hybridMultilevel"/>
    <w:tmpl w:val="81F89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25F8"/>
    <w:multiLevelType w:val="hybridMultilevel"/>
    <w:tmpl w:val="20524998"/>
    <w:lvl w:ilvl="0" w:tplc="3A3A4B1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D297F"/>
    <w:multiLevelType w:val="hybridMultilevel"/>
    <w:tmpl w:val="66A2AB8E"/>
    <w:lvl w:ilvl="0" w:tplc="8D6C03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0881"/>
    <w:multiLevelType w:val="hybridMultilevel"/>
    <w:tmpl w:val="FF482C98"/>
    <w:lvl w:ilvl="0" w:tplc="ABE2A3DE">
      <w:start w:val="5"/>
      <w:numFmt w:val="decimal"/>
      <w:lvlText w:val="%1"/>
      <w:lvlJc w:val="left"/>
      <w:pPr>
        <w:ind w:left="1080" w:hanging="360"/>
      </w:pPr>
      <w:rPr>
        <w:rFonts w:ascii="MyriadPro-Bold" w:hAnsi="MyriadPro-Bold" w:cs="MyriadPro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8E4224"/>
    <w:multiLevelType w:val="hybridMultilevel"/>
    <w:tmpl w:val="9D80D04A"/>
    <w:lvl w:ilvl="0" w:tplc="3E4A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8FB16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F7A2F"/>
    <w:multiLevelType w:val="hybridMultilevel"/>
    <w:tmpl w:val="61F2F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27"/>
    <w:rsid w:val="00041C00"/>
    <w:rsid w:val="000F7B01"/>
    <w:rsid w:val="00183E27"/>
    <w:rsid w:val="003D0765"/>
    <w:rsid w:val="00496578"/>
    <w:rsid w:val="006C57EF"/>
    <w:rsid w:val="006C795C"/>
    <w:rsid w:val="00787F74"/>
    <w:rsid w:val="00A020FB"/>
    <w:rsid w:val="00BC58F9"/>
    <w:rsid w:val="00C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E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E27"/>
  </w:style>
  <w:style w:type="paragraph" w:styleId="Pieddepage">
    <w:name w:val="footer"/>
    <w:basedOn w:val="Normal"/>
    <w:link w:val="PieddepageCar"/>
    <w:uiPriority w:val="99"/>
    <w:unhideWhenUsed/>
    <w:rsid w:val="0018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E27"/>
  </w:style>
  <w:style w:type="character" w:styleId="Lienhypertexte">
    <w:name w:val="Hyperlink"/>
    <w:basedOn w:val="Policepardfaut"/>
    <w:uiPriority w:val="99"/>
    <w:unhideWhenUsed/>
    <w:rsid w:val="00BC58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E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E27"/>
  </w:style>
  <w:style w:type="paragraph" w:styleId="Pieddepage">
    <w:name w:val="footer"/>
    <w:basedOn w:val="Normal"/>
    <w:link w:val="PieddepageCar"/>
    <w:uiPriority w:val="99"/>
    <w:unhideWhenUsed/>
    <w:rsid w:val="0018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E27"/>
  </w:style>
  <w:style w:type="character" w:styleId="Lienhypertexte">
    <w:name w:val="Hyperlink"/>
    <w:basedOn w:val="Policepardfaut"/>
    <w:uiPriority w:val="99"/>
    <w:unhideWhenUsed/>
    <w:rsid w:val="00BC58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ouvelle-aquitaine.ars.sante.fr/le-projet-regional-de-sante-nouvelle-aquitaine-2018-2018-est-adop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EAZ_HQ0t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uvelle-aquitaine.ars.sante.fr/le-projet-regional-de-sante-nouvelle-aquitaine-2018-2018-est-adop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dcterms:created xsi:type="dcterms:W3CDTF">2018-10-31T08:21:00Z</dcterms:created>
  <dcterms:modified xsi:type="dcterms:W3CDTF">2018-10-31T08:55:00Z</dcterms:modified>
</cp:coreProperties>
</file>