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2323C8" w:rsidTr="002323C8">
        <w:tc>
          <w:tcPr>
            <w:tcW w:w="9212" w:type="dxa"/>
          </w:tcPr>
          <w:p w:rsidR="002323C8" w:rsidRDefault="002323C8" w:rsidP="002323C8">
            <w:pPr>
              <w:jc w:val="center"/>
              <w:rPr>
                <w:b/>
                <w:sz w:val="32"/>
                <w:szCs w:val="24"/>
              </w:rPr>
            </w:pPr>
            <w:r w:rsidRPr="00671B06">
              <w:rPr>
                <w:b/>
                <w:sz w:val="32"/>
                <w:szCs w:val="24"/>
              </w:rPr>
              <w:t xml:space="preserve">[Votre Établissement] investit pour améliorer les conditions de travail des </w:t>
            </w:r>
            <w:r w:rsidR="00AC5964">
              <w:rPr>
                <w:b/>
                <w:sz w:val="32"/>
                <w:szCs w:val="24"/>
              </w:rPr>
              <w:t>professionnels</w:t>
            </w:r>
            <w:r>
              <w:rPr>
                <w:b/>
                <w:sz w:val="32"/>
                <w:szCs w:val="24"/>
              </w:rPr>
              <w:t xml:space="preserve"> et d’accueil des </w:t>
            </w:r>
            <w:r w:rsidR="008A125A">
              <w:rPr>
                <w:b/>
                <w:sz w:val="32"/>
                <w:szCs w:val="24"/>
              </w:rPr>
              <w:t>résidents</w:t>
            </w:r>
          </w:p>
          <w:p w:rsidR="002323C8" w:rsidRPr="00671B06" w:rsidRDefault="002323C8" w:rsidP="002323C8">
            <w:pPr>
              <w:rPr>
                <w:b/>
                <w:sz w:val="32"/>
                <w:szCs w:val="24"/>
              </w:rPr>
            </w:pPr>
          </w:p>
          <w:p w:rsidR="002323C8" w:rsidRDefault="002323C8" w:rsidP="002323C8">
            <w:pPr>
              <w:jc w:val="both"/>
            </w:pPr>
            <w:r>
              <w:t xml:space="preserve">Présenté en juillet 2020, le Ségur de la santé est un plan d’investissement massif dans le système de santé afin d’améliorer, notamment, le quotidien de ceux qui soignent. Près d’1,3 milliard d’euros sera investi dans les établissements sanitaires et médico-sociaux de la région Nouvelle-Aquitaine. </w:t>
            </w:r>
          </w:p>
          <w:p w:rsidR="00335917" w:rsidRDefault="00335917" w:rsidP="002323C8">
            <w:pPr>
              <w:jc w:val="both"/>
            </w:pPr>
          </w:p>
          <w:p w:rsidR="00A04EE2" w:rsidRDefault="00AC5964" w:rsidP="002323C8">
            <w:pPr>
              <w:jc w:val="both"/>
            </w:pPr>
            <w:r>
              <w:rPr>
                <w:b/>
              </w:rPr>
              <w:t xml:space="preserve">Une part de ces crédits </w:t>
            </w:r>
            <w:r w:rsidR="00335917" w:rsidRPr="00335917">
              <w:rPr>
                <w:b/>
              </w:rPr>
              <w:t xml:space="preserve">consiste à soutenir les investissements </w:t>
            </w:r>
            <w:r>
              <w:rPr>
                <w:b/>
              </w:rPr>
              <w:t>immobiliers</w:t>
            </w:r>
            <w:r w:rsidR="00335917">
              <w:t xml:space="preserve"> des établissements </w:t>
            </w:r>
            <w:r>
              <w:t>pour personnes âgées</w:t>
            </w:r>
            <w:r w:rsidR="00335917">
              <w:t>. Cette enveloppe</w:t>
            </w:r>
            <w:r w:rsidR="002323C8">
              <w:t xml:space="preserve"> est financée </w:t>
            </w:r>
            <w:r w:rsidR="00335917">
              <w:t xml:space="preserve">en partie </w:t>
            </w:r>
            <w:r>
              <w:t>par des</w:t>
            </w:r>
            <w:r w:rsidR="002323C8">
              <w:t xml:space="preserve"> Fonds européen</w:t>
            </w:r>
            <w:r>
              <w:t>s</w:t>
            </w:r>
            <w:r w:rsidR="002323C8">
              <w:t xml:space="preserve"> et est destinée</w:t>
            </w:r>
            <w:r w:rsidR="00A04EE2">
              <w:t xml:space="preserve"> à répondre aux </w:t>
            </w:r>
            <w:r w:rsidR="00A04EE2" w:rsidRPr="00A04EE2">
              <w:rPr>
                <w:b/>
              </w:rPr>
              <w:t>enjeux de transformation de l’offre attendue au niveau des territoires</w:t>
            </w:r>
            <w:r w:rsidR="00A04EE2">
              <w:rPr>
                <w:b/>
              </w:rPr>
              <w:t xml:space="preserve"> sur la période 2021-2024</w:t>
            </w:r>
            <w:r>
              <w:rPr>
                <w:b/>
              </w:rPr>
              <w:t xml:space="preserve"> pour développer les « EHPAD de demain »</w:t>
            </w:r>
            <w:r w:rsidR="00A04EE2">
              <w:t xml:space="preserve">. Au regard des besoins projetés de la population et de l’offre existante dans les territoires, les priorités concerneront : </w:t>
            </w:r>
          </w:p>
          <w:p w:rsidR="00A41CD4" w:rsidRDefault="00A41CD4" w:rsidP="002323C8">
            <w:pPr>
              <w:jc w:val="both"/>
            </w:pPr>
          </w:p>
          <w:p w:rsidR="00A04EE2" w:rsidRDefault="00AC5964" w:rsidP="00A04EE2">
            <w:pPr>
              <w:pStyle w:val="Paragraphedeliste"/>
              <w:numPr>
                <w:ilvl w:val="0"/>
                <w:numId w:val="2"/>
              </w:numPr>
              <w:jc w:val="both"/>
            </w:pPr>
            <w:r>
              <w:t>L’approche domiciliaire avec des projets promouvant le sentiment « d’être chez soi » ;</w:t>
            </w:r>
          </w:p>
          <w:p w:rsidR="00AC5964" w:rsidRDefault="00AC5964" w:rsidP="00A04EE2">
            <w:pPr>
              <w:pStyle w:val="Paragraphedeliste"/>
              <w:numPr>
                <w:ilvl w:val="0"/>
                <w:numId w:val="2"/>
              </w:numPr>
              <w:jc w:val="both"/>
            </w:pPr>
            <w:r>
              <w:t>L’ouverture de l’établissement sur l’extérieur et la « cité » ;</w:t>
            </w:r>
          </w:p>
          <w:p w:rsidR="00AC5964" w:rsidRDefault="00AC5964" w:rsidP="00A04EE2">
            <w:pPr>
              <w:pStyle w:val="Paragraphedeliste"/>
              <w:numPr>
                <w:ilvl w:val="0"/>
                <w:numId w:val="2"/>
              </w:numPr>
              <w:jc w:val="both"/>
            </w:pPr>
            <w:r>
              <w:t>La prise en charge adaptée des troubles neurodégénératifs notamment ;</w:t>
            </w:r>
          </w:p>
          <w:p w:rsidR="00AC5964" w:rsidRDefault="00AC5964" w:rsidP="00A04EE2">
            <w:pPr>
              <w:pStyle w:val="Paragraphedeliste"/>
              <w:numPr>
                <w:ilvl w:val="0"/>
                <w:numId w:val="2"/>
              </w:numPr>
              <w:jc w:val="both"/>
            </w:pPr>
            <w:r>
              <w:t>La diversification de l’offre.</w:t>
            </w:r>
          </w:p>
          <w:p w:rsidR="00A04EE2" w:rsidRDefault="00A04EE2" w:rsidP="00A04EE2">
            <w:pPr>
              <w:pStyle w:val="Paragraphedeliste"/>
              <w:jc w:val="both"/>
            </w:pPr>
          </w:p>
          <w:p w:rsidR="00335917" w:rsidRDefault="005E0EF6" w:rsidP="00335917">
            <w:pPr>
              <w:jc w:val="both"/>
            </w:pPr>
            <w:r>
              <w:t>C</w:t>
            </w:r>
            <w:r w:rsidR="009A30C3">
              <w:t>ette enveloppe, qui s’élève</w:t>
            </w:r>
            <w:r w:rsidR="00335917">
              <w:t xml:space="preserve"> à </w:t>
            </w:r>
            <w:r w:rsidR="00A04EE2">
              <w:t>94</w:t>
            </w:r>
            <w:r w:rsidR="00335917">
              <w:t xml:space="preserve"> millions en Nouvelle-Aquitaine</w:t>
            </w:r>
            <w:r w:rsidR="00AC5964">
              <w:t xml:space="preserve"> entre 2021</w:t>
            </w:r>
            <w:r w:rsidR="009A30C3">
              <w:t xml:space="preserve"> et 2024</w:t>
            </w:r>
            <w:r w:rsidR="00335917">
              <w:t xml:space="preserve">, doit permettre </w:t>
            </w:r>
            <w:r w:rsidR="009A30C3">
              <w:rPr>
                <w:b/>
              </w:rPr>
              <w:t xml:space="preserve">aux établissements de répondre aux besoins </w:t>
            </w:r>
            <w:r w:rsidR="00020956">
              <w:rPr>
                <w:b/>
              </w:rPr>
              <w:t>de p</w:t>
            </w:r>
            <w:r w:rsidR="00875D9C">
              <w:rPr>
                <w:b/>
              </w:rPr>
              <w:t>rise en charge de la population et à l’amélioration des conditions de travail des professionnels.</w:t>
            </w:r>
            <w:bookmarkStart w:id="0" w:name="_GoBack"/>
            <w:bookmarkEnd w:id="0"/>
          </w:p>
          <w:p w:rsidR="00335917" w:rsidRDefault="00335917" w:rsidP="002323C8">
            <w:pPr>
              <w:jc w:val="both"/>
            </w:pPr>
          </w:p>
          <w:p w:rsidR="002323C8" w:rsidRPr="00433BC5" w:rsidRDefault="002323C8" w:rsidP="002323C8">
            <w:pPr>
              <w:jc w:val="both"/>
              <w:rPr>
                <w:b/>
                <w:sz w:val="24"/>
              </w:rPr>
            </w:pPr>
            <w:r w:rsidRPr="00433BC5">
              <w:rPr>
                <w:b/>
                <w:sz w:val="24"/>
              </w:rPr>
              <w:t xml:space="preserve">[Votre Établissement] a reçu XX€ pour améliorer le quotidien des soignants et des </w:t>
            </w:r>
            <w:r w:rsidR="008A125A">
              <w:rPr>
                <w:b/>
                <w:sz w:val="24"/>
              </w:rPr>
              <w:t>résidents</w:t>
            </w:r>
            <w:r w:rsidR="00A41CD4">
              <w:rPr>
                <w:b/>
                <w:sz w:val="24"/>
              </w:rPr>
              <w:t>.</w:t>
            </w:r>
          </w:p>
          <w:p w:rsidR="002323C8" w:rsidRDefault="002323C8" w:rsidP="002323C8">
            <w:pPr>
              <w:jc w:val="both"/>
              <w:rPr>
                <w:b/>
              </w:rPr>
            </w:pPr>
          </w:p>
          <w:p w:rsidR="002323C8" w:rsidRDefault="00A04EE2" w:rsidP="002323C8">
            <w:pPr>
              <w:jc w:val="center"/>
              <w:rPr>
                <w:b/>
              </w:rPr>
            </w:pPr>
            <w:r>
              <w:rPr>
                <w:noProof/>
                <w:lang w:eastAsia="fr-FR"/>
              </w:rPr>
              <w:drawing>
                <wp:anchor distT="0" distB="0" distL="114300" distR="114300" simplePos="0" relativeHeight="251658240" behindDoc="1" locked="0" layoutInCell="1" allowOverlap="1">
                  <wp:simplePos x="0" y="0"/>
                  <wp:positionH relativeFrom="column">
                    <wp:posOffset>4920421</wp:posOffset>
                  </wp:positionH>
                  <wp:positionV relativeFrom="paragraph">
                    <wp:posOffset>74074</wp:posOffset>
                  </wp:positionV>
                  <wp:extent cx="619760" cy="619760"/>
                  <wp:effectExtent l="0" t="0" r="8890" b="8890"/>
                  <wp:wrapTight wrapText="bothSides">
                    <wp:wrapPolygon edited="0">
                      <wp:start x="0" y="0"/>
                      <wp:lineTo x="0" y="21246"/>
                      <wp:lineTo x="21246" y="21246"/>
                      <wp:lineTo x="21246" y="0"/>
                      <wp:lineTo x="0" y="0"/>
                    </wp:wrapPolygon>
                  </wp:wrapTight>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619760" cy="619760"/>
                          </a:xfrm>
                          <a:prstGeom prst="rect">
                            <a:avLst/>
                          </a:prstGeom>
                        </pic:spPr>
                      </pic:pic>
                    </a:graphicData>
                  </a:graphic>
                  <wp14:sizeRelH relativeFrom="margin">
                    <wp14:pctWidth>0</wp14:pctWidth>
                  </wp14:sizeRelH>
                  <wp14:sizeRelV relativeFrom="margin">
                    <wp14:pctHeight>0</wp14:pctHeight>
                  </wp14:sizeRelV>
                </wp:anchor>
              </w:drawing>
            </w:r>
            <w:r w:rsidR="002323C8">
              <w:rPr>
                <w:b/>
                <w:noProof/>
                <w:sz w:val="32"/>
                <w:szCs w:val="24"/>
                <w:lang w:eastAsia="fr-FR"/>
              </w:rPr>
              <w:drawing>
                <wp:inline distT="0" distB="0" distL="0" distR="0" wp14:anchorId="5BE428FC" wp14:editId="5B0529F5">
                  <wp:extent cx="4509526" cy="824128"/>
                  <wp:effectExtent l="0" t="0" r="5715" b="0"/>
                  <wp:docPr id="1" name="Image 1" descr="C:\Users\sulecomte\AppData\Local\Microsoft\Windows\INetCache\Content.Word\Financé P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ulecomte\AppData\Local\Microsoft\Windows\INetCache\Content.Word\Financé Par.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09872" cy="824191"/>
                          </a:xfrm>
                          <a:prstGeom prst="rect">
                            <a:avLst/>
                          </a:prstGeom>
                          <a:noFill/>
                          <a:ln>
                            <a:noFill/>
                          </a:ln>
                        </pic:spPr>
                      </pic:pic>
                    </a:graphicData>
                  </a:graphic>
                </wp:inline>
              </w:drawing>
            </w:r>
            <w:r>
              <w:rPr>
                <w:noProof/>
                <w:lang w:eastAsia="fr-FR"/>
              </w:rPr>
              <w:t xml:space="preserve"> </w:t>
            </w:r>
          </w:p>
          <w:p w:rsidR="002323C8" w:rsidRDefault="002323C8" w:rsidP="002323C8">
            <w:pPr>
              <w:jc w:val="center"/>
              <w:rPr>
                <w:b/>
              </w:rPr>
            </w:pPr>
          </w:p>
          <w:p w:rsidR="002323C8" w:rsidRDefault="002323C8" w:rsidP="002323C8">
            <w:pPr>
              <w:jc w:val="both"/>
              <w:rPr>
                <w:szCs w:val="24"/>
              </w:rPr>
            </w:pPr>
            <w:r w:rsidRPr="00462F54">
              <w:rPr>
                <w:szCs w:val="24"/>
              </w:rPr>
              <w:t xml:space="preserve">Le [Votre Établissement] a reçu, dans le cadre du Ségur, XXX€ pour améliorer le quotidien des </w:t>
            </w:r>
            <w:r w:rsidR="00335917">
              <w:rPr>
                <w:szCs w:val="24"/>
              </w:rPr>
              <w:t>personnels</w:t>
            </w:r>
            <w:r w:rsidRPr="00462F54">
              <w:rPr>
                <w:szCs w:val="24"/>
              </w:rPr>
              <w:t xml:space="preserve"> et des </w:t>
            </w:r>
            <w:r w:rsidR="00583F5A">
              <w:rPr>
                <w:szCs w:val="24"/>
              </w:rPr>
              <w:t>résidents</w:t>
            </w:r>
            <w:r w:rsidRPr="00462F54">
              <w:rPr>
                <w:szCs w:val="24"/>
              </w:rPr>
              <w:t>.</w:t>
            </w:r>
          </w:p>
          <w:p w:rsidR="002323C8" w:rsidRDefault="002323C8" w:rsidP="002323C8">
            <w:pPr>
              <w:jc w:val="both"/>
              <w:rPr>
                <w:szCs w:val="24"/>
              </w:rPr>
            </w:pPr>
          </w:p>
          <w:p w:rsidR="00335917" w:rsidRPr="00335917" w:rsidRDefault="00335917" w:rsidP="002323C8">
            <w:pPr>
              <w:jc w:val="both"/>
              <w:rPr>
                <w:sz w:val="24"/>
                <w:szCs w:val="24"/>
              </w:rPr>
            </w:pPr>
            <w:r>
              <w:rPr>
                <w:szCs w:val="24"/>
              </w:rPr>
              <w:t xml:space="preserve">Dans ce cadre, notre établissement a pu </w:t>
            </w:r>
            <w:r w:rsidRPr="00335917">
              <w:t>[investir/rénover] …..</w:t>
            </w:r>
          </w:p>
          <w:p w:rsidR="002323C8" w:rsidRDefault="002323C8" w:rsidP="002323C8">
            <w:pPr>
              <w:jc w:val="both"/>
              <w:rPr>
                <w:szCs w:val="24"/>
              </w:rPr>
            </w:pPr>
          </w:p>
          <w:p w:rsidR="002323C8" w:rsidRDefault="002323C8" w:rsidP="00671B06">
            <w:pPr>
              <w:jc w:val="center"/>
              <w:rPr>
                <w:b/>
                <w:sz w:val="32"/>
                <w:szCs w:val="24"/>
              </w:rPr>
            </w:pPr>
          </w:p>
        </w:tc>
      </w:tr>
    </w:tbl>
    <w:p w:rsidR="002323C8" w:rsidRDefault="002323C8" w:rsidP="00671B06">
      <w:pPr>
        <w:jc w:val="center"/>
        <w:rPr>
          <w:b/>
          <w:sz w:val="32"/>
          <w:szCs w:val="24"/>
        </w:rPr>
      </w:pPr>
    </w:p>
    <w:p w:rsidR="00862EDC" w:rsidRPr="00462F54" w:rsidRDefault="00862EDC" w:rsidP="00671B06">
      <w:pPr>
        <w:jc w:val="both"/>
        <w:rPr>
          <w:szCs w:val="24"/>
        </w:rPr>
      </w:pPr>
    </w:p>
    <w:p w:rsidR="00462F54" w:rsidRDefault="00462F54" w:rsidP="00671B06">
      <w:pPr>
        <w:jc w:val="both"/>
      </w:pPr>
    </w:p>
    <w:sectPr w:rsidR="00462F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3779E"/>
    <w:multiLevelType w:val="hybridMultilevel"/>
    <w:tmpl w:val="88A236E4"/>
    <w:lvl w:ilvl="0" w:tplc="EFA2CBE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26D033A"/>
    <w:multiLevelType w:val="hybridMultilevel"/>
    <w:tmpl w:val="FE023DD6"/>
    <w:lvl w:ilvl="0" w:tplc="C3FC3DE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B06"/>
    <w:rsid w:val="00015C49"/>
    <w:rsid w:val="00020956"/>
    <w:rsid w:val="002323C8"/>
    <w:rsid w:val="00335917"/>
    <w:rsid w:val="00433BC5"/>
    <w:rsid w:val="00462F54"/>
    <w:rsid w:val="00583F5A"/>
    <w:rsid w:val="005E0EF6"/>
    <w:rsid w:val="00644B47"/>
    <w:rsid w:val="00671B06"/>
    <w:rsid w:val="00862EDC"/>
    <w:rsid w:val="00875D9C"/>
    <w:rsid w:val="008A125A"/>
    <w:rsid w:val="008B7645"/>
    <w:rsid w:val="009A30C3"/>
    <w:rsid w:val="00A04EE2"/>
    <w:rsid w:val="00A41CD4"/>
    <w:rsid w:val="00AC5964"/>
    <w:rsid w:val="00D73B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EB88B"/>
  <w15:docId w15:val="{18771160-A78E-4F39-8454-FC4D7A158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232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323C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323C8"/>
    <w:rPr>
      <w:rFonts w:ascii="Tahoma" w:hAnsi="Tahoma" w:cs="Tahoma"/>
      <w:sz w:val="16"/>
      <w:szCs w:val="16"/>
    </w:rPr>
  </w:style>
  <w:style w:type="paragraph" w:styleId="Paragraphedeliste">
    <w:name w:val="List Paragraph"/>
    <w:basedOn w:val="Normal"/>
    <w:uiPriority w:val="34"/>
    <w:qFormat/>
    <w:rsid w:val="00A04E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259</Words>
  <Characters>1425</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Ministères Chargés des Affaires Sociales</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COMTE, Suzy</dc:creator>
  <cp:lastModifiedBy>BONNOT MARTAGEIX, Sophie</cp:lastModifiedBy>
  <cp:revision>13</cp:revision>
  <dcterms:created xsi:type="dcterms:W3CDTF">2022-02-17T09:26:00Z</dcterms:created>
  <dcterms:modified xsi:type="dcterms:W3CDTF">2023-07-12T07:20:00Z</dcterms:modified>
</cp:coreProperties>
</file>